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573FC3" w:rsidRDefault="00573FC3" w:rsidP="00ED023D">
      <w:pPr>
        <w:jc w:val="center"/>
        <w:rPr>
          <w:rFonts w:ascii="Times New Roman" w:hAnsi="Times New Roman" w:cs="Times New Roman"/>
          <w:sz w:val="24"/>
          <w:szCs w:val="24"/>
        </w:rPr>
      </w:pPr>
    </w:p>
    <w:p w:rsidR="00573FC3" w:rsidRDefault="00573FC3" w:rsidP="00ED023D">
      <w:pPr>
        <w:jc w:val="center"/>
        <w:rPr>
          <w:rFonts w:ascii="Times New Roman" w:hAnsi="Times New Roman" w:cs="Times New Roman"/>
          <w:sz w:val="24"/>
          <w:szCs w:val="24"/>
        </w:rPr>
      </w:pPr>
    </w:p>
    <w:p w:rsidR="00ED023D" w:rsidRDefault="00ED023D" w:rsidP="00ED023D">
      <w:pPr>
        <w:jc w:val="center"/>
        <w:rPr>
          <w:rFonts w:ascii="Times New Roman" w:hAnsi="Times New Roman" w:cs="Times New Roman"/>
          <w:sz w:val="24"/>
          <w:szCs w:val="24"/>
        </w:rPr>
      </w:pPr>
      <w:r>
        <w:rPr>
          <w:rFonts w:ascii="Times New Roman" w:hAnsi="Times New Roman" w:cs="Times New Roman"/>
          <w:sz w:val="24"/>
          <w:szCs w:val="24"/>
        </w:rPr>
        <w:t>Human Rights:</w:t>
      </w:r>
    </w:p>
    <w:p w:rsidR="00ED023D" w:rsidRDefault="00ED023D" w:rsidP="00ED023D">
      <w:pPr>
        <w:jc w:val="center"/>
        <w:rPr>
          <w:rFonts w:ascii="Times New Roman" w:hAnsi="Times New Roman" w:cs="Times New Roman"/>
          <w:sz w:val="24"/>
          <w:szCs w:val="24"/>
        </w:rPr>
      </w:pPr>
      <w:r>
        <w:rPr>
          <w:rFonts w:ascii="Times New Roman" w:hAnsi="Times New Roman" w:cs="Times New Roman"/>
          <w:sz w:val="24"/>
          <w:szCs w:val="24"/>
        </w:rPr>
        <w:t>Is Returning of Refugees to Syria Where their life and freedom are threatened a violation of International Laws?</w:t>
      </w:r>
    </w:p>
    <w:p w:rsidR="00ED023D" w:rsidRDefault="00ED023D" w:rsidP="00ED023D">
      <w:pPr>
        <w:jc w:val="center"/>
        <w:rPr>
          <w:rFonts w:ascii="Times New Roman" w:hAnsi="Times New Roman" w:cs="Times New Roman"/>
          <w:sz w:val="24"/>
          <w:szCs w:val="24"/>
        </w:rPr>
      </w:pPr>
      <w:r>
        <w:rPr>
          <w:rFonts w:ascii="Times New Roman" w:hAnsi="Times New Roman" w:cs="Times New Roman"/>
          <w:sz w:val="24"/>
          <w:szCs w:val="24"/>
        </w:rPr>
        <w:br w:type="page"/>
      </w:r>
    </w:p>
    <w:p w:rsidR="00ED023D" w:rsidRDefault="00ED023D" w:rsidP="00245BFD">
      <w:pPr>
        <w:spacing w:line="480" w:lineRule="auto"/>
        <w:ind w:firstLine="567"/>
        <w:rPr>
          <w:rFonts w:ascii="Times New Roman" w:hAnsi="Times New Roman" w:cs="Times New Roman"/>
          <w:sz w:val="24"/>
          <w:szCs w:val="24"/>
        </w:rPr>
      </w:pPr>
    </w:p>
    <w:p w:rsidR="004F45C8" w:rsidRDefault="00245BFD" w:rsidP="00245BFD">
      <w:pPr>
        <w:spacing w:line="480" w:lineRule="auto"/>
        <w:ind w:firstLine="567"/>
        <w:rPr>
          <w:rFonts w:ascii="Times New Roman" w:hAnsi="Times New Roman" w:cs="Times New Roman"/>
          <w:sz w:val="24"/>
          <w:szCs w:val="24"/>
        </w:rPr>
      </w:pPr>
      <w:r w:rsidRPr="00245BFD">
        <w:rPr>
          <w:rFonts w:ascii="Times New Roman" w:hAnsi="Times New Roman" w:cs="Times New Roman"/>
          <w:sz w:val="24"/>
          <w:szCs w:val="24"/>
        </w:rPr>
        <w:t>This brief contends that returning refugees back to Syria where their life is threatened is a violation of international law. Human rights are the basic rights and freedoms that belong to every person in the world, from birth until death. Human rights can never be a taken away although sometimes they can be restricted.</w:t>
      </w:r>
    </w:p>
    <w:p w:rsidR="00245BFD" w:rsidRDefault="003213F1" w:rsidP="00245BFD">
      <w:pPr>
        <w:spacing w:line="480" w:lineRule="auto"/>
        <w:ind w:firstLine="567"/>
        <w:rPr>
          <w:rFonts w:ascii="Times New Roman" w:hAnsi="Times New Roman" w:cs="Times New Roman"/>
          <w:sz w:val="24"/>
          <w:szCs w:val="24"/>
        </w:rPr>
      </w:pPr>
      <w:r>
        <w:rPr>
          <w:rFonts w:ascii="Times New Roman" w:hAnsi="Times New Roman" w:cs="Times New Roman"/>
          <w:sz w:val="24"/>
          <w:szCs w:val="24"/>
        </w:rPr>
        <w:t>Under the international law, refugees are persons outside their countries of origin who are in need of international protection because of a serious threat to their life, physical integrity of freedom in their country of origin because of persecution, armed conflict, violence or serious public disorder.</w:t>
      </w:r>
    </w:p>
    <w:p w:rsidR="003213F1" w:rsidRDefault="003213F1" w:rsidP="00245BFD">
      <w:pPr>
        <w:spacing w:line="480" w:lineRule="auto"/>
        <w:ind w:firstLine="567"/>
        <w:rPr>
          <w:rFonts w:ascii="Times New Roman" w:hAnsi="Times New Roman" w:cs="Times New Roman"/>
          <w:sz w:val="24"/>
          <w:szCs w:val="24"/>
        </w:rPr>
      </w:pPr>
      <w:r>
        <w:rPr>
          <w:rFonts w:ascii="Times New Roman" w:hAnsi="Times New Roman" w:cs="Times New Roman"/>
          <w:sz w:val="24"/>
          <w:szCs w:val="24"/>
        </w:rPr>
        <w:t>The 1951 convention relating to the status of refugees and its 1967 Protocol laid the foundation upon which subsequent regional instruments have built, including the 1967 OAU convention, the 1984 Cartagena declaration, the EU qualification directive and other relevant instruments of the EU asylum and the 1966 Bangkok principles.</w:t>
      </w:r>
      <w:r w:rsidR="00170332">
        <w:rPr>
          <w:rFonts w:ascii="Times New Roman" w:hAnsi="Times New Roman" w:cs="Times New Roman"/>
          <w:sz w:val="24"/>
          <w:szCs w:val="24"/>
        </w:rPr>
        <w:t xml:space="preserve"> Collectively, this body of law, complemented by human rights law, makes up the international refugee protection regime. It is this same regime where the United Nations High Commissioner for Refugees executes her mandates.</w:t>
      </w:r>
    </w:p>
    <w:p w:rsidR="001C7653" w:rsidRPr="001C7653" w:rsidRDefault="001C7653" w:rsidP="001C7653">
      <w:pPr>
        <w:pStyle w:val="NormalWeb"/>
        <w:shd w:val="clear" w:color="auto" w:fill="FFFFFF"/>
        <w:spacing w:before="0" w:beforeAutospacing="0" w:after="240" w:afterAutospacing="0" w:line="480" w:lineRule="auto"/>
        <w:ind w:firstLine="567"/>
      </w:pPr>
      <w:r w:rsidRPr="001C7653">
        <w:t>After the Second World War, the refugee question became highly politicized (</w:t>
      </w:r>
      <w:hyperlink r:id="rId7" w:anchor="oxfordhb-9780199652433-e-021-bibItem-3" w:history="1">
        <w:r w:rsidRPr="001C7653">
          <w:rPr>
            <w:rStyle w:val="Hyperlink"/>
            <w:color w:val="auto"/>
            <w:u w:val="none"/>
          </w:rPr>
          <w:t>Goodwin-Gill 2008</w:t>
        </w:r>
      </w:hyperlink>
      <w:r w:rsidRPr="001C7653">
        <w:t>), and the UN’s first institutional response to the problem—the International Refugee Organization (IRO), a specialized agency—was opposed by the Soviet Union and its allies, remaining funded by only 18 of the 54 governments which were then members of the United Nations. Notwithstanding the politics of the day, tens of thousands of refugees and displaced persons were resettled under IRO auspices, through government selection schemes, individual migration, and employment placement (</w:t>
      </w:r>
      <w:hyperlink r:id="rId8" w:anchor="oxfordhb-9780199652433-e-021-bibItem-9" w:history="1">
        <w:r w:rsidRPr="001C7653">
          <w:rPr>
            <w:rStyle w:val="Hyperlink"/>
            <w:color w:val="auto"/>
            <w:u w:val="none"/>
          </w:rPr>
          <w:t>Holborn 1975</w:t>
        </w:r>
      </w:hyperlink>
      <w:r w:rsidRPr="001C7653">
        <w:t>; </w:t>
      </w:r>
      <w:hyperlink r:id="rId9" w:anchor="oxfordhb-9780199652433-e-021-bibItem-10" w:history="1">
        <w:r w:rsidRPr="001C7653">
          <w:rPr>
            <w:rStyle w:val="Hyperlink"/>
            <w:color w:val="auto"/>
            <w:u w:val="none"/>
          </w:rPr>
          <w:t>Loescher and Scanlan 1986</w:t>
        </w:r>
      </w:hyperlink>
      <w:r w:rsidRPr="001C7653">
        <w:t>).</w:t>
      </w:r>
    </w:p>
    <w:p w:rsidR="00170332" w:rsidRDefault="00170332" w:rsidP="00245BFD">
      <w:pPr>
        <w:spacing w:line="480" w:lineRule="auto"/>
        <w:ind w:firstLine="567"/>
        <w:rPr>
          <w:rFonts w:ascii="Times New Roman" w:hAnsi="Times New Roman" w:cs="Times New Roman"/>
          <w:sz w:val="24"/>
          <w:szCs w:val="24"/>
        </w:rPr>
      </w:pPr>
    </w:p>
    <w:p w:rsidR="003213F1" w:rsidRDefault="001C7653" w:rsidP="00245BFD">
      <w:pPr>
        <w:spacing w:line="480" w:lineRule="auto"/>
        <w:ind w:firstLine="567"/>
        <w:rPr>
          <w:rFonts w:ascii="Arial" w:hAnsi="Arial" w:cs="Arial"/>
          <w:color w:val="000000"/>
          <w:shd w:val="clear" w:color="auto" w:fill="FFFFFF"/>
        </w:rPr>
      </w:pPr>
      <w:r w:rsidRPr="001C7653">
        <w:rPr>
          <w:rFonts w:ascii="Times New Roman" w:hAnsi="Times New Roman" w:cs="Times New Roman"/>
          <w:sz w:val="24"/>
          <w:szCs w:val="24"/>
          <w:shd w:val="clear" w:color="auto" w:fill="FFFFFF"/>
        </w:rPr>
        <w:t>From the start, UNHCR’s protection responsibilities were intended to be complemented by a new refugee treaty, and the 1951 Convention relating to the Status of Refugees was finalized by states at a conference in Geneva in July 1951; it entered into force in 1954 (</w:t>
      </w:r>
      <w:hyperlink r:id="rId10" w:anchor="oxfordhb-9780199652433-e-021-bibItem-4" w:history="1">
        <w:r w:rsidRPr="001C7653">
          <w:rPr>
            <w:rStyle w:val="Hyperlink"/>
            <w:rFonts w:ascii="Times New Roman" w:hAnsi="Times New Roman" w:cs="Times New Roman"/>
            <w:color w:val="auto"/>
            <w:sz w:val="24"/>
            <w:szCs w:val="24"/>
            <w:u w:val="none"/>
            <w:shd w:val="clear" w:color="auto" w:fill="FFFFFF"/>
          </w:rPr>
          <w:t>Goodwin-Gill 2009</w:t>
        </w:r>
      </w:hyperlink>
      <w:r w:rsidRPr="001C7653">
        <w:rPr>
          <w:rFonts w:ascii="Times New Roman" w:hAnsi="Times New Roman" w:cs="Times New Roman"/>
          <w:sz w:val="24"/>
          <w:szCs w:val="24"/>
          <w:shd w:val="clear" w:color="auto" w:fill="FFFFFF"/>
        </w:rPr>
        <w:t>).</w:t>
      </w:r>
      <w:hyperlink r:id="rId11" w:anchor="oxfordhb-9780199652433-e-021-note-4" w:history="1">
        <w:r w:rsidRPr="001C7653">
          <w:rPr>
            <w:rStyle w:val="Hyperlink"/>
            <w:rFonts w:ascii="Times New Roman" w:hAnsi="Times New Roman" w:cs="Times New Roman"/>
            <w:color w:val="auto"/>
            <w:sz w:val="24"/>
            <w:szCs w:val="24"/>
            <w:u w:val="none"/>
            <w:shd w:val="clear" w:color="auto" w:fill="FFFFFF"/>
            <w:vertAlign w:val="superscript"/>
          </w:rPr>
          <w:t>4</w:t>
        </w:r>
      </w:hyperlink>
      <w:r w:rsidRPr="001C7653">
        <w:rPr>
          <w:rFonts w:ascii="Times New Roman" w:hAnsi="Times New Roman" w:cs="Times New Roman"/>
          <w:sz w:val="24"/>
          <w:szCs w:val="24"/>
          <w:shd w:val="clear" w:color="auto" w:fill="FFFFFF"/>
        </w:rPr>
        <w:t> Notwithstanding the intended complementarity, there were already major differences between UNHCR’s mandate, which was universal and general, unconstrained by geographical or temporal limitations, and the refugee definition forwarded to the Conference by the General Assembly. This reflected the reluctance of states to sign a ‘blank cheque’</w:t>
      </w:r>
      <w:r>
        <w:rPr>
          <w:rFonts w:ascii="Times New Roman" w:hAnsi="Times New Roman" w:cs="Times New Roman"/>
          <w:sz w:val="24"/>
          <w:szCs w:val="24"/>
          <w:shd w:val="clear" w:color="auto" w:fill="FFFFFF"/>
        </w:rPr>
        <w:t xml:space="preserve"> </w:t>
      </w:r>
      <w:r w:rsidRPr="001C7653">
        <w:rPr>
          <w:rFonts w:ascii="Times New Roman" w:hAnsi="Times New Roman" w:cs="Times New Roman"/>
          <w:sz w:val="24"/>
          <w:szCs w:val="24"/>
          <w:shd w:val="clear" w:color="auto" w:fill="FFFFFF"/>
        </w:rPr>
        <w:t>for unknown num</w:t>
      </w:r>
      <w:r>
        <w:rPr>
          <w:rFonts w:ascii="Times New Roman" w:hAnsi="Times New Roman" w:cs="Times New Roman"/>
          <w:sz w:val="24"/>
          <w:szCs w:val="24"/>
          <w:shd w:val="clear" w:color="auto" w:fill="FFFFFF"/>
        </w:rPr>
        <w:t xml:space="preserve">bers of future refugees, and </w:t>
      </w:r>
      <w:r w:rsidRPr="001C7653">
        <w:rPr>
          <w:rFonts w:ascii="Times New Roman" w:hAnsi="Times New Roman" w:cs="Times New Roman"/>
          <w:sz w:val="24"/>
          <w:szCs w:val="24"/>
          <w:shd w:val="clear" w:color="auto" w:fill="FFFFFF"/>
        </w:rPr>
        <w:t>was restricted to those who became refugees by reason of events occurring before 1 January 1951; the Conference was to add a further option, allowing states to limit their obligations to refugees resulting from events occurring </w:t>
      </w:r>
      <w:r w:rsidRPr="001C7653">
        <w:rPr>
          <w:rFonts w:ascii="Times New Roman" w:hAnsi="Times New Roman" w:cs="Times New Roman"/>
          <w:iCs/>
          <w:sz w:val="24"/>
          <w:szCs w:val="24"/>
          <w:shd w:val="clear" w:color="auto" w:fill="FFFFFF"/>
        </w:rPr>
        <w:t>in Europe</w:t>
      </w:r>
      <w:r w:rsidRPr="001C7653">
        <w:rPr>
          <w:rFonts w:ascii="Times New Roman" w:hAnsi="Times New Roman" w:cs="Times New Roman"/>
          <w:sz w:val="24"/>
          <w:szCs w:val="24"/>
          <w:shd w:val="clear" w:color="auto" w:fill="FFFFFF"/>
        </w:rPr>
        <w:t> before the critical date</w:t>
      </w:r>
      <w:r>
        <w:rPr>
          <w:rFonts w:ascii="Arial" w:hAnsi="Arial" w:cs="Arial"/>
          <w:color w:val="000000"/>
          <w:shd w:val="clear" w:color="auto" w:fill="FFFFFF"/>
        </w:rPr>
        <w:t>.</w:t>
      </w:r>
    </w:p>
    <w:p w:rsidR="001C7653" w:rsidRDefault="000016AC" w:rsidP="00245BFD">
      <w:pPr>
        <w:spacing w:line="480" w:lineRule="auto"/>
        <w:ind w:firstLine="567"/>
        <w:rPr>
          <w:rFonts w:ascii="Times New Roman" w:hAnsi="Times New Roman" w:cs="Times New Roman"/>
          <w:sz w:val="24"/>
          <w:szCs w:val="24"/>
          <w:shd w:val="clear" w:color="auto" w:fill="FFFFFF"/>
        </w:rPr>
      </w:pPr>
      <w:r w:rsidRPr="000016AC">
        <w:rPr>
          <w:rFonts w:ascii="Times New Roman" w:hAnsi="Times New Roman" w:cs="Times New Roman"/>
          <w:sz w:val="24"/>
          <w:szCs w:val="24"/>
          <w:shd w:val="clear" w:color="auto" w:fill="FFFFFF"/>
        </w:rPr>
        <w:t>The difficulty of maintaining a refugee definition bounded by time and space was soon apparent, but it was not until 1967 that the Protocol relating to the Status of Refugees helped to bridge the gap between UNHCR’s mandate and the 1951 Convention.</w:t>
      </w:r>
      <w:hyperlink r:id="rId12" w:anchor="oxfordhb-9780199652433-e-021-note-5" w:history="1">
        <w:r w:rsidRPr="000016AC">
          <w:rPr>
            <w:rStyle w:val="Hyperlink"/>
            <w:rFonts w:ascii="Times New Roman" w:hAnsi="Times New Roman" w:cs="Times New Roman"/>
            <w:color w:val="auto"/>
            <w:sz w:val="24"/>
            <w:szCs w:val="24"/>
            <w:shd w:val="clear" w:color="auto" w:fill="FFFFFF"/>
            <w:vertAlign w:val="superscript"/>
          </w:rPr>
          <w:t>5</w:t>
        </w:r>
      </w:hyperlink>
      <w:r w:rsidRPr="000016AC">
        <w:rPr>
          <w:rFonts w:ascii="Times New Roman" w:hAnsi="Times New Roman" w:cs="Times New Roman"/>
          <w:sz w:val="24"/>
          <w:szCs w:val="24"/>
          <w:shd w:val="clear" w:color="auto" w:fill="FFFFFF"/>
        </w:rPr>
        <w:t> The Protocol is often referred to as ‘amendi</w:t>
      </w:r>
      <w:r>
        <w:rPr>
          <w:rFonts w:ascii="Times New Roman" w:hAnsi="Times New Roman" w:cs="Times New Roman"/>
          <w:sz w:val="24"/>
          <w:szCs w:val="24"/>
          <w:shd w:val="clear" w:color="auto" w:fill="FFFFFF"/>
        </w:rPr>
        <w:t xml:space="preserve">ng’ the 1951 Convention, but in </w:t>
      </w:r>
      <w:r w:rsidR="004277AE" w:rsidRPr="000016AC">
        <w:rPr>
          <w:rFonts w:ascii="Times New Roman" w:hAnsi="Times New Roman" w:cs="Times New Roman"/>
          <w:sz w:val="24"/>
          <w:szCs w:val="24"/>
          <w:shd w:val="clear" w:color="auto" w:fill="FFFFFF"/>
        </w:rPr>
        <w:t>fact,</w:t>
      </w:r>
      <w:r w:rsidRPr="000016AC">
        <w:rPr>
          <w:rFonts w:ascii="Times New Roman" w:hAnsi="Times New Roman" w:cs="Times New Roman"/>
          <w:sz w:val="24"/>
          <w:szCs w:val="24"/>
          <w:shd w:val="clear" w:color="auto" w:fill="FFFFFF"/>
        </w:rPr>
        <w:t xml:space="preserve"> it does no such thing. States parties to the Protocol, which can be ratified or acceded to without becoming a party to the Convention, simply agree to apply Articles 2 to 34 of the Convention to refugees defined in Article 1 thereof, as if the dateline were omitted (Article I of the Protocol). Cape Verde, the United States of America, and Venezuela have acceded only to the Protocol; Madagascar and St Kitts and Nevis remain party only to the Convention; and Madagascar and Turkey have retained the geograp</w:t>
      </w:r>
      <w:r>
        <w:rPr>
          <w:rFonts w:ascii="Times New Roman" w:hAnsi="Times New Roman" w:cs="Times New Roman"/>
          <w:sz w:val="24"/>
          <w:szCs w:val="24"/>
          <w:shd w:val="clear" w:color="auto" w:fill="FFFFFF"/>
        </w:rPr>
        <w:t>hical limitation. The Protocol required just the six ratifications and it entered into force on 4 October 1967.</w:t>
      </w:r>
    </w:p>
    <w:p w:rsidR="000016AC" w:rsidRDefault="000016AC" w:rsidP="00245BFD">
      <w:pPr>
        <w:spacing w:line="480" w:lineRule="auto"/>
        <w:ind w:firstLine="567"/>
        <w:rPr>
          <w:rFonts w:ascii="Times New Roman" w:hAnsi="Times New Roman" w:cs="Times New Roman"/>
          <w:sz w:val="24"/>
          <w:szCs w:val="24"/>
          <w:shd w:val="clear" w:color="auto" w:fill="FFFFFF"/>
        </w:rPr>
      </w:pPr>
      <w:r w:rsidRPr="000016AC">
        <w:rPr>
          <w:rFonts w:ascii="Times New Roman" w:hAnsi="Times New Roman" w:cs="Times New Roman"/>
          <w:sz w:val="24"/>
          <w:szCs w:val="24"/>
          <w:shd w:val="clear" w:color="auto" w:fill="FFFFFF"/>
        </w:rPr>
        <w:lastRenderedPageBreak/>
        <w:t xml:space="preserve">Article 1A(1) of the 1951 Convention applies the term ‘refugee’, first, to any person considered a refugee under earlier international arrangements. Then, </w:t>
      </w:r>
      <w:r w:rsidR="00573FC3">
        <w:rPr>
          <w:rFonts w:ascii="Times New Roman" w:hAnsi="Times New Roman" w:cs="Times New Roman"/>
          <w:sz w:val="24"/>
          <w:szCs w:val="24"/>
          <w:shd w:val="clear" w:color="auto" w:fill="FFFFFF"/>
        </w:rPr>
        <w:t xml:space="preserve"> </w:t>
      </w:r>
      <w:r w:rsidRPr="000016AC">
        <w:rPr>
          <w:rFonts w:ascii="Times New Roman" w:hAnsi="Times New Roman" w:cs="Times New Roman"/>
          <w:sz w:val="24"/>
          <w:szCs w:val="24"/>
          <w:shd w:val="clear" w:color="auto" w:fill="FFFFFF"/>
        </w:rPr>
        <w:t>Article 1A(2), read now together with the 1967 Protocol and without time or geographical limits, offers a general definition of the refugee as including any person who is outside their country or origin and unable or unwilling to return there or to avail themselves of its protection, owing to well-founded fear of persecution for reasons of race, religion, nationality, membership of a particular social group (an additional ground not found in the UNHCR Statute), or political opinion. Stateless persons may also be refugees in this sense, where country of origin (citizenship) is understood as ‘country of former habitual residence’.</w:t>
      </w:r>
    </w:p>
    <w:p w:rsidR="000016AC" w:rsidRDefault="00BA1392" w:rsidP="00245BFD">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It is true that the Syrian refugees fled their country in search of a better place to live</w:t>
      </w:r>
      <w:r w:rsidR="00673010">
        <w:rPr>
          <w:rFonts w:ascii="Times New Roman" w:hAnsi="Times New Roman" w:cs="Times New Roman"/>
          <w:sz w:val="24"/>
          <w:szCs w:val="24"/>
          <w:shd w:val="clear" w:color="auto" w:fill="FFFFFF"/>
        </w:rPr>
        <w:t xml:space="preserve">. </w:t>
      </w:r>
      <w:r w:rsidR="004277AE">
        <w:rPr>
          <w:rFonts w:ascii="Times New Roman" w:hAnsi="Times New Roman" w:cs="Times New Roman"/>
          <w:sz w:val="24"/>
          <w:szCs w:val="24"/>
          <w:shd w:val="clear" w:color="auto" w:fill="FFFFFF"/>
        </w:rPr>
        <w:t>However,</w:t>
      </w:r>
      <w:r w:rsidR="00673010">
        <w:rPr>
          <w:rFonts w:ascii="Times New Roman" w:hAnsi="Times New Roman" w:cs="Times New Roman"/>
          <w:sz w:val="24"/>
          <w:szCs w:val="24"/>
          <w:shd w:val="clear" w:color="auto" w:fill="FFFFFF"/>
        </w:rPr>
        <w:t xml:space="preserve"> returning them to their home country where still their rights and freedom are threatened is not only a violation of the international laws on refugees but also is being heartless and inhuman.</w:t>
      </w:r>
    </w:p>
    <w:p w:rsidR="00673010" w:rsidRPr="00673010" w:rsidRDefault="00673010" w:rsidP="00673010">
      <w:pPr>
        <w:pStyle w:val="NormalWeb"/>
        <w:shd w:val="clear" w:color="auto" w:fill="FFFFFF"/>
        <w:spacing w:line="480" w:lineRule="auto"/>
        <w:ind w:firstLine="567"/>
      </w:pPr>
      <w:r w:rsidRPr="00673010">
        <w:t>Jordanian authorities have forcibly deported vulnerable Syrian refugees back to Syria in violation of </w:t>
      </w:r>
      <w:hyperlink r:id="rId13" w:history="1">
        <w:r w:rsidRPr="00673010">
          <w:rPr>
            <w:rStyle w:val="Hyperlink"/>
            <w:color w:val="auto"/>
            <w:u w:val="none"/>
          </w:rPr>
          <w:t>Jordan</w:t>
        </w:r>
      </w:hyperlink>
      <w:r w:rsidRPr="00673010">
        <w:t>’s international obligations. Those deported include wounded men and unaccompanied children.</w:t>
      </w:r>
    </w:p>
    <w:p w:rsidR="00673010" w:rsidRDefault="00673010" w:rsidP="00673010">
      <w:pPr>
        <w:pStyle w:val="NormalWeb"/>
        <w:shd w:val="clear" w:color="auto" w:fill="FFFFFF"/>
        <w:spacing w:line="480" w:lineRule="auto"/>
        <w:ind w:firstLine="567"/>
      </w:pPr>
      <w:r w:rsidRPr="00673010">
        <w:t>Refugee deportations violate the international law principle of nonrefoulement, which forbids governments from returning people to places where their lives or freedom would be threatened. Those deported include a group of 12 Syrian refugees who had been receiving tre</w:t>
      </w:r>
      <w:r>
        <w:t>atment at a rehabilitation cent</w:t>
      </w:r>
      <w:r w:rsidRPr="00673010">
        <w:t>r</w:t>
      </w:r>
      <w:r>
        <w:t>e</w:t>
      </w:r>
      <w:r w:rsidRPr="00673010">
        <w:t xml:space="preserve"> in northern Jordan as well as four refugees, three of them children, whom Jordanian border police intercepted near the Syrian border.</w:t>
      </w:r>
    </w:p>
    <w:p w:rsidR="00573FC3" w:rsidRDefault="004277AE" w:rsidP="00673010">
      <w:pPr>
        <w:pStyle w:val="NormalWeb"/>
        <w:shd w:val="clear" w:color="auto" w:fill="FFFFFF"/>
        <w:spacing w:line="480" w:lineRule="auto"/>
        <w:ind w:firstLine="567"/>
      </w:pPr>
      <w:r>
        <w:t xml:space="preserve">The situation in Syria had not calmed down when the Syrian refugees were returned back. Submissions for resettlement of vulnerable refugees, already low in previous years, </w:t>
      </w:r>
    </w:p>
    <w:p w:rsidR="00673010" w:rsidRDefault="004277AE" w:rsidP="00573FC3">
      <w:pPr>
        <w:pStyle w:val="NormalWeb"/>
        <w:shd w:val="clear" w:color="auto" w:fill="FFFFFF"/>
        <w:spacing w:line="480" w:lineRule="auto"/>
      </w:pPr>
      <w:r>
        <w:lastRenderedPageBreak/>
        <w:t>plummeted in 2017 by nearly 50%. This lack of political will from wealthy countries to share responsibility for the world’s largest refugee crisis has enabled Syria’s neighbours to justify their own initiatives to close their borders or return refugees.</w:t>
      </w:r>
    </w:p>
    <w:p w:rsidR="004277AE" w:rsidRDefault="004277AE" w:rsidP="00673010">
      <w:pPr>
        <w:pStyle w:val="NormalWeb"/>
        <w:shd w:val="clear" w:color="auto" w:fill="FFFFFF"/>
        <w:spacing w:line="480" w:lineRule="auto"/>
        <w:ind w:firstLine="567"/>
      </w:pPr>
      <w:r>
        <w:t xml:space="preserve">Syrian refugees returning home faced animosity from their relatives and friends. Refugees coming back were seen as seen as cowards who ran out of their country </w:t>
      </w:r>
      <w:r w:rsidR="005B7142">
        <w:t>and forfeiting their war torn country. It is crucial that the wishes of refugees are respected and that they have options other than unsafe return, whether in neighbouring countries or beyond. Ultimately, however, it is the responsibility of the parties to the conflict, neighbouring countries and the broader international community, to take action. Recognizing the scale of this challenge, the following concrete steps must be urgently taken to ensure the immediate and long-term protection of refugees:</w:t>
      </w:r>
    </w:p>
    <w:p w:rsidR="005B7142" w:rsidRDefault="005B7142" w:rsidP="00673010">
      <w:pPr>
        <w:pStyle w:val="NormalWeb"/>
        <w:shd w:val="clear" w:color="auto" w:fill="FFFFFF"/>
        <w:spacing w:line="480" w:lineRule="auto"/>
        <w:ind w:firstLine="567"/>
      </w:pPr>
      <w:r>
        <w:t>Parties to the conflict in Syria should abide by international humanitarian law and mitigate risks that returnees may face. This includes the protection of schools, hospitals and other critical civilian infrastructure, and an immediate end to the use of explosive weapons with wide-area effects in populated areas.</w:t>
      </w:r>
    </w:p>
    <w:p w:rsidR="005B7142" w:rsidRDefault="005B7142" w:rsidP="00673010">
      <w:pPr>
        <w:pStyle w:val="NormalWeb"/>
        <w:shd w:val="clear" w:color="auto" w:fill="FFFFFF"/>
        <w:spacing w:line="480" w:lineRule="auto"/>
        <w:ind w:firstLine="567"/>
      </w:pPr>
      <w:r>
        <w:t>Authorities in Syria should make effective guarantees of safety and freedom of movement for refugees who have returned to Syria. The authorities must also develop and implement mechanisms that will facilitate the recognition of refugee and internally displaced person (IDP) documentation; including education certificates obtained by children, and address the lack of civil documentation held by women. They must also allow humanitarian actors to significantly scale up mine clearance programmes and rehabilitate schools and medical facilities in areas under their control.</w:t>
      </w:r>
    </w:p>
    <w:p w:rsidR="005B7142" w:rsidRDefault="005B7142" w:rsidP="00673010">
      <w:pPr>
        <w:pStyle w:val="NormalWeb"/>
        <w:shd w:val="clear" w:color="auto" w:fill="FFFFFF"/>
        <w:spacing w:line="480" w:lineRule="auto"/>
        <w:ind w:firstLine="567"/>
      </w:pPr>
      <w:r>
        <w:lastRenderedPageBreak/>
        <w:t>Governments of neighbouring countries should respect the principle of nonrefoulement, including no refoulement of Syrians currently seeking protection at their borders. They should honour commitments, including those made at the London and Brussels conferences, as they relate to job creation, education and protection of refugees. In particular, they should create simple, affordable and consistently applied procedures for refugees from Syria to have valid documentation in order to access work and services.</w:t>
      </w:r>
    </w:p>
    <w:p w:rsidR="005B7142" w:rsidRDefault="00D146F6" w:rsidP="00673010">
      <w:pPr>
        <w:pStyle w:val="NormalWeb"/>
        <w:shd w:val="clear" w:color="auto" w:fill="FFFFFF"/>
        <w:spacing w:line="480" w:lineRule="auto"/>
        <w:ind w:firstLine="567"/>
      </w:pPr>
      <w:r>
        <w:t>International humanitarian and development actors should develop a principled common framework on durable solutions, which will enable them to provide appropriate assistance to refugees and avoid encouraging the premature, involuntary or unsafe return of refugees to Syria. This framework should include monitoring of the safety and voluntariness of returns, and provision of impartial information to refugees to inform their choices regarding return or other durable or interim solutions, whether in the country of asylum or a third country</w:t>
      </w:r>
    </w:p>
    <w:p w:rsidR="00D146F6" w:rsidRPr="00673010" w:rsidRDefault="00D146F6" w:rsidP="00673010">
      <w:pPr>
        <w:pStyle w:val="NormalWeb"/>
        <w:shd w:val="clear" w:color="auto" w:fill="FFFFFF"/>
        <w:spacing w:line="480" w:lineRule="auto"/>
        <w:ind w:firstLine="567"/>
      </w:pPr>
      <w:r>
        <w:t>The governments of Turkey and Jordan have deported refugees to Syria throughout the course of the year. Human rights groups noted that cases of refoulement from Jordan peaked in early 2017, with up to 400 a month17 deported as the government cited security concerns.18 The Jordanian government has reinforced police checks in the past year, especially in neighbourhoods populated by Syrians, subjecting those who are in contact with family members in Syria to particular scrutiny. In cases documented by aid groups, Syrians were not afforded the opportunity to challenge their deportation in court, and authorities typically did not allow Syrians to access legal advice or to review their deportation orders.</w:t>
      </w:r>
    </w:p>
    <w:p w:rsidR="00573FC3" w:rsidRDefault="00573FC3" w:rsidP="00D146F6">
      <w:pPr>
        <w:spacing w:line="480" w:lineRule="auto"/>
        <w:ind w:firstLine="567"/>
        <w:jc w:val="center"/>
        <w:rPr>
          <w:rFonts w:ascii="Times New Roman" w:hAnsi="Times New Roman" w:cs="Times New Roman"/>
          <w:b/>
          <w:sz w:val="24"/>
          <w:szCs w:val="24"/>
        </w:rPr>
      </w:pPr>
    </w:p>
    <w:p w:rsidR="00573FC3" w:rsidRDefault="00573FC3" w:rsidP="00D146F6">
      <w:pPr>
        <w:spacing w:line="480" w:lineRule="auto"/>
        <w:ind w:firstLine="567"/>
        <w:jc w:val="center"/>
        <w:rPr>
          <w:rFonts w:ascii="Times New Roman" w:hAnsi="Times New Roman" w:cs="Times New Roman"/>
          <w:b/>
          <w:sz w:val="24"/>
          <w:szCs w:val="24"/>
        </w:rPr>
      </w:pPr>
    </w:p>
    <w:p w:rsidR="00673010" w:rsidRDefault="00D146F6" w:rsidP="00D146F6">
      <w:pPr>
        <w:spacing w:line="480" w:lineRule="auto"/>
        <w:ind w:firstLine="567"/>
        <w:jc w:val="center"/>
        <w:rPr>
          <w:rFonts w:ascii="Times New Roman" w:hAnsi="Times New Roman" w:cs="Times New Roman"/>
          <w:b/>
          <w:sz w:val="24"/>
          <w:szCs w:val="24"/>
        </w:rPr>
      </w:pPr>
      <w:r w:rsidRPr="00D146F6">
        <w:rPr>
          <w:rFonts w:ascii="Times New Roman" w:hAnsi="Times New Roman" w:cs="Times New Roman"/>
          <w:b/>
          <w:sz w:val="24"/>
          <w:szCs w:val="24"/>
        </w:rPr>
        <w:lastRenderedPageBreak/>
        <w:t>Conclusion</w:t>
      </w:r>
    </w:p>
    <w:p w:rsidR="006948DD" w:rsidRDefault="006948DD" w:rsidP="006948DD">
      <w:pPr>
        <w:pStyle w:val="EndnoteText"/>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Article 2 of the Universal Declaration of Human Rights states that; </w:t>
      </w:r>
      <w:r w:rsidRPr="001A55C5">
        <w:rPr>
          <w:rFonts w:ascii="Times New Roman" w:hAnsi="Times New Roman" w:cs="Times New Roman"/>
          <w:sz w:val="24"/>
          <w:szCs w:val="24"/>
        </w:rPr>
        <w:t xml:space="preserve">Everyone is entitled to all the rights and freedoms set forth in this Declaration, without distinction of any kind, such as race, colour, sex, language, religion, political or other opinion, national or social origin, property, birth or other status. </w:t>
      </w:r>
    </w:p>
    <w:p w:rsidR="006948DD" w:rsidRPr="001A55C5" w:rsidRDefault="006948DD" w:rsidP="006948DD">
      <w:pPr>
        <w:pStyle w:val="EndnoteText"/>
        <w:spacing w:after="0" w:line="480" w:lineRule="auto"/>
        <w:ind w:firstLine="567"/>
        <w:rPr>
          <w:rFonts w:ascii="Times New Roman" w:hAnsi="Times New Roman" w:cs="Times New Roman"/>
          <w:sz w:val="24"/>
          <w:szCs w:val="24"/>
        </w:rPr>
      </w:pPr>
      <w:r w:rsidRPr="001A55C5">
        <w:rPr>
          <w:rFonts w:ascii="Times New Roman" w:hAnsi="Times New Roman" w:cs="Times New Roman"/>
          <w:sz w:val="24"/>
          <w:szCs w:val="24"/>
        </w:rPr>
        <w:t>Furthermore, no distinction shall be made on the basis of the political, jurisdictional or international status of the country or territory to which a person belongs, whether it be independent, trust, non-self-governing or under any other limitation of sovereignty.</w:t>
      </w:r>
    </w:p>
    <w:p w:rsidR="00D146F6" w:rsidRDefault="00D146F6"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6948DD">
      <w:pPr>
        <w:spacing w:line="480" w:lineRule="auto"/>
        <w:ind w:firstLine="567"/>
        <w:jc w:val="center"/>
        <w:rPr>
          <w:rFonts w:ascii="Times New Roman" w:hAnsi="Times New Roman" w:cs="Times New Roman"/>
          <w:b/>
          <w:sz w:val="24"/>
          <w:szCs w:val="24"/>
        </w:rPr>
      </w:pPr>
      <w:r w:rsidRPr="006948DD">
        <w:rPr>
          <w:rFonts w:ascii="Times New Roman" w:hAnsi="Times New Roman" w:cs="Times New Roman"/>
          <w:b/>
          <w:sz w:val="24"/>
          <w:szCs w:val="24"/>
        </w:rPr>
        <w:lastRenderedPageBreak/>
        <w:t>References</w:t>
      </w:r>
    </w:p>
    <w:p w:rsidR="006948DD" w:rsidRDefault="00B336D1" w:rsidP="006948DD">
      <w:pPr>
        <w:spacing w:line="480" w:lineRule="auto"/>
        <w:ind w:firstLine="567"/>
        <w:rPr>
          <w:rFonts w:ascii="Times New Roman" w:hAnsi="Times New Roman" w:cs="Times New Roman"/>
          <w:sz w:val="24"/>
          <w:szCs w:val="24"/>
        </w:rPr>
      </w:pPr>
      <w:r w:rsidRPr="00B336D1">
        <w:rPr>
          <w:rFonts w:ascii="Times New Roman" w:hAnsi="Times New Roman" w:cs="Times New Roman"/>
          <w:sz w:val="24"/>
          <w:szCs w:val="24"/>
        </w:rPr>
        <w:t xml:space="preserve">J. Traub (2017) Germany is preparing to send refugees back to Syria, Foreign Policy, 6 December 2017, http://foreignpolicy.com/2017/12/06/germany-is-preparing-to-send-refugees-back-to-syria/ and M. Barrett (2017) ‘Syrians can reunite with families in Aleppo’: Danish People’s Party, The Local DK, 7 December 2017, </w:t>
      </w:r>
      <w:hyperlink r:id="rId14" w:history="1">
        <w:r w:rsidRPr="005F5478">
          <w:rPr>
            <w:rStyle w:val="Hyperlink"/>
            <w:rFonts w:ascii="Times New Roman" w:hAnsi="Times New Roman" w:cs="Times New Roman"/>
            <w:sz w:val="24"/>
            <w:szCs w:val="24"/>
          </w:rPr>
          <w:t>https://www.thelocal.dk/20171207/syrians-can-reunite-with-families-in-aleppo-danish-peoples-party</w:t>
        </w:r>
      </w:hyperlink>
    </w:p>
    <w:p w:rsidR="00B336D1" w:rsidRDefault="00B336D1" w:rsidP="006948DD">
      <w:pPr>
        <w:spacing w:line="480" w:lineRule="auto"/>
        <w:ind w:firstLine="567"/>
        <w:rPr>
          <w:rFonts w:ascii="Times New Roman" w:hAnsi="Times New Roman" w:cs="Times New Roman"/>
          <w:color w:val="002060"/>
          <w:sz w:val="24"/>
          <w:szCs w:val="24"/>
          <w:u w:val="single"/>
        </w:rPr>
      </w:pPr>
      <w:r w:rsidRPr="00B336D1">
        <w:rPr>
          <w:rFonts w:ascii="Times New Roman" w:hAnsi="Times New Roman" w:cs="Times New Roman"/>
          <w:sz w:val="24"/>
          <w:szCs w:val="24"/>
        </w:rPr>
        <w:t xml:space="preserve">Turkey-Syria border wall to be </w:t>
      </w:r>
      <w:r>
        <w:rPr>
          <w:rFonts w:ascii="Times New Roman" w:hAnsi="Times New Roman" w:cs="Times New Roman"/>
          <w:sz w:val="24"/>
          <w:szCs w:val="24"/>
        </w:rPr>
        <w:t>completed by spring, Gaziantep,</w:t>
      </w:r>
      <w:r w:rsidRPr="00B336D1">
        <w:rPr>
          <w:rFonts w:ascii="Times New Roman" w:hAnsi="Times New Roman" w:cs="Times New Roman"/>
          <w:sz w:val="24"/>
          <w:szCs w:val="24"/>
        </w:rPr>
        <w:t xml:space="preserve">18 December 2017, </w:t>
      </w:r>
      <w:r w:rsidRPr="00B336D1">
        <w:rPr>
          <w:rFonts w:ascii="Times New Roman" w:hAnsi="Times New Roman" w:cs="Times New Roman"/>
          <w:color w:val="002060"/>
          <w:sz w:val="24"/>
          <w:szCs w:val="24"/>
          <w:u w:val="single"/>
        </w:rPr>
        <w:t>http://www. hurriyetdailynews.com/turkey-syria-border-wall-to-be-completed-by-spring-124303</w:t>
      </w:r>
    </w:p>
    <w:p w:rsidR="00B336D1" w:rsidRDefault="00B336D1" w:rsidP="006948DD">
      <w:pPr>
        <w:spacing w:line="480" w:lineRule="auto"/>
        <w:ind w:firstLine="567"/>
        <w:rPr>
          <w:rFonts w:ascii="Times New Roman" w:hAnsi="Times New Roman" w:cs="Times New Roman"/>
          <w:color w:val="002060"/>
          <w:sz w:val="24"/>
          <w:szCs w:val="24"/>
          <w:u w:val="single"/>
        </w:rPr>
      </w:pPr>
      <w:r w:rsidRPr="00B336D1">
        <w:rPr>
          <w:rFonts w:ascii="Times New Roman" w:hAnsi="Times New Roman" w:cs="Times New Roman"/>
          <w:sz w:val="24"/>
          <w:szCs w:val="24"/>
        </w:rPr>
        <w:t xml:space="preserve">Human Rights Watch (2017) ‘I Have No Idea Why They Sent Us Back’, Jordanian Deportations and Expulsions of Syrian Refugees, 7 October 2017, </w:t>
      </w:r>
      <w:hyperlink r:id="rId15" w:history="1">
        <w:r w:rsidRPr="005F5478">
          <w:rPr>
            <w:rStyle w:val="Hyperlink"/>
            <w:rFonts w:ascii="Times New Roman" w:hAnsi="Times New Roman" w:cs="Times New Roman"/>
            <w:sz w:val="24"/>
            <w:szCs w:val="24"/>
          </w:rPr>
          <w:t>https://www.hrw.org/report/2017/10/02/i-have-no-idea-whythey-sent-us-back/jordanian-deportations-and-expulsions-syrian</w:t>
        </w:r>
      </w:hyperlink>
    </w:p>
    <w:p w:rsidR="00B336D1" w:rsidRDefault="00B336D1" w:rsidP="006948DD">
      <w:pPr>
        <w:spacing w:line="480" w:lineRule="auto"/>
        <w:ind w:firstLine="567"/>
        <w:rPr>
          <w:rFonts w:ascii="Times New Roman" w:hAnsi="Times New Roman" w:cs="Times New Roman"/>
          <w:color w:val="002060"/>
          <w:sz w:val="24"/>
          <w:szCs w:val="24"/>
          <w:u w:val="single"/>
        </w:rPr>
      </w:pPr>
      <w:r w:rsidRPr="00B336D1">
        <w:rPr>
          <w:rFonts w:ascii="Times New Roman" w:hAnsi="Times New Roman" w:cs="Times New Roman"/>
          <w:sz w:val="24"/>
          <w:szCs w:val="24"/>
        </w:rPr>
        <w:t xml:space="preserve">Human Rights Watch (2017) Lebanon: Refugees in Border Zone at Risk, 20 September 2017, </w:t>
      </w:r>
      <w:r w:rsidRPr="00B336D1">
        <w:rPr>
          <w:rFonts w:ascii="Times New Roman" w:hAnsi="Times New Roman" w:cs="Times New Roman"/>
          <w:color w:val="002060"/>
          <w:sz w:val="24"/>
          <w:szCs w:val="24"/>
          <w:u w:val="single"/>
        </w:rPr>
        <w:t>https://www. hrw.org/news/2017/09/20/lebanon-refugees-border-zone-risk</w:t>
      </w:r>
    </w:p>
    <w:p w:rsidR="00B336D1" w:rsidRPr="00B336D1" w:rsidRDefault="00B336D1" w:rsidP="006948DD">
      <w:pPr>
        <w:spacing w:line="480" w:lineRule="auto"/>
        <w:ind w:firstLine="567"/>
        <w:rPr>
          <w:rFonts w:ascii="Times New Roman" w:hAnsi="Times New Roman" w:cs="Times New Roman"/>
          <w:color w:val="002060"/>
          <w:sz w:val="24"/>
          <w:szCs w:val="24"/>
          <w:u w:val="single"/>
        </w:rPr>
      </w:pPr>
      <w:r w:rsidRPr="00B336D1">
        <w:rPr>
          <w:rFonts w:ascii="Times New Roman" w:hAnsi="Times New Roman" w:cs="Times New Roman"/>
          <w:sz w:val="24"/>
          <w:szCs w:val="24"/>
        </w:rPr>
        <w:t xml:space="preserve">UNHCR Lebanon (2017) UNHCR Lebanon Statement on returns from Arsal, 3 August 2017 </w:t>
      </w:r>
      <w:r w:rsidRPr="00B336D1">
        <w:rPr>
          <w:rFonts w:ascii="Times New Roman" w:hAnsi="Times New Roman" w:cs="Times New Roman"/>
          <w:color w:val="002060"/>
          <w:sz w:val="24"/>
          <w:szCs w:val="24"/>
          <w:u w:val="single"/>
        </w:rPr>
        <w:t>.https://www. refugees-lebanon.org/en/news/179/unhcr-lebanon-statement-on-returns-from-arsal</w:t>
      </w:r>
    </w:p>
    <w:p w:rsidR="00ED023D" w:rsidRPr="00573FC3" w:rsidRDefault="00ED023D" w:rsidP="00ED023D">
      <w:pPr>
        <w:spacing w:line="480" w:lineRule="auto"/>
        <w:ind w:firstLine="567"/>
        <w:jc w:val="center"/>
        <w:rPr>
          <w:rFonts w:ascii="Times New Roman" w:hAnsi="Times New Roman" w:cs="Times New Roman"/>
          <w:b/>
          <w:sz w:val="24"/>
          <w:szCs w:val="24"/>
        </w:rPr>
      </w:pPr>
      <w:r w:rsidRPr="00573FC3">
        <w:rPr>
          <w:rFonts w:ascii="Times New Roman" w:hAnsi="Times New Roman" w:cs="Times New Roman"/>
          <w:b/>
          <w:sz w:val="24"/>
          <w:szCs w:val="24"/>
        </w:rPr>
        <w:t>Endnotes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33(1) of 1951 Convention Relating to the Status of Refugees and the 1967 Protocol</w:t>
      </w:r>
    </w:p>
    <w:p w:rsidR="00ED023D" w:rsidRPr="001A55C5" w:rsidRDefault="00ED023D" w:rsidP="00ED023D">
      <w:pPr>
        <w:pStyle w:val="EndnoteText"/>
        <w:ind w:leftChars="284" w:left="963" w:hangingChars="141" w:hanging="338"/>
        <w:rPr>
          <w:rFonts w:ascii="Times New Roman" w:hAnsi="Times New Roman" w:cs="Times New Roman"/>
          <w:sz w:val="24"/>
          <w:szCs w:val="24"/>
        </w:rPr>
      </w:pPr>
      <w:r w:rsidRPr="001A55C5">
        <w:rPr>
          <w:rFonts w:ascii="Times New Roman" w:hAnsi="Times New Roman" w:cs="Times New Roman"/>
          <w:sz w:val="24"/>
          <w:szCs w:val="24"/>
        </w:rPr>
        <w:t>(1) Prohibition of Expulsion or Return (“Refoulement”): No Contracting State shall expel or return (“refouler”) a refugee in any manner whatsoever to the frontiers of territories where his life or freedom would be threatened on account of his race, religion, nationality, membership of a particular social group or political opinion.</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lastRenderedPageBreak/>
        <w:footnoteRef/>
      </w:r>
      <w:r w:rsidRPr="001A55C5">
        <w:rPr>
          <w:rFonts w:ascii="Times New Roman" w:hAnsi="Times New Roman" w:cs="Times New Roman"/>
          <w:sz w:val="24"/>
          <w:szCs w:val="24"/>
        </w:rPr>
        <w:t xml:space="preserve"> Article 1A (2) of 1951 Convention Relating to the Status of Refugees and the 1967 Protocol</w:t>
      </w:r>
    </w:p>
    <w:p w:rsidR="00ED023D" w:rsidRDefault="00ED023D" w:rsidP="00ED023D">
      <w:pPr>
        <w:pStyle w:val="EndnoteText"/>
        <w:ind w:leftChars="284" w:left="963" w:hangingChars="141" w:hanging="338"/>
        <w:rPr>
          <w:rFonts w:ascii="Times New Roman" w:hAnsi="Times New Roman" w:cs="Times New Roman"/>
          <w:sz w:val="24"/>
          <w:szCs w:val="24"/>
        </w:rPr>
      </w:pPr>
      <w:r w:rsidRPr="001A55C5">
        <w:rPr>
          <w:rFonts w:ascii="Times New Roman" w:hAnsi="Times New Roman" w:cs="Times New Roman"/>
          <w:sz w:val="24"/>
          <w:szCs w:val="24"/>
        </w:rPr>
        <w:t>(2) Definition of the Term “Refugee”: As a result of events occurring before 1 January 1951 and owing to well</w:t>
      </w:r>
      <w:r w:rsidR="00573FC3">
        <w:rPr>
          <w:rFonts w:ascii="Times New Roman" w:hAnsi="Times New Roman" w:cs="Times New Roman"/>
          <w:sz w:val="24"/>
          <w:szCs w:val="24"/>
        </w:rPr>
        <w:t>-</w:t>
      </w:r>
      <w:bookmarkStart w:id="0" w:name="_GoBack"/>
      <w:bookmarkEnd w:id="0"/>
      <w:r w:rsidRPr="001A55C5">
        <w:rPr>
          <w:rFonts w:ascii="Times New Roman" w:hAnsi="Times New Roman" w:cs="Times New Roman"/>
          <w:sz w:val="24"/>
          <w:szCs w:val="24"/>
        </w:rPr>
        <w:t>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p>
    <w:p w:rsidR="00ED023D" w:rsidRPr="001A55C5" w:rsidRDefault="00ED023D" w:rsidP="00ED023D">
      <w:pPr>
        <w:pStyle w:val="EndnoteText"/>
        <w:ind w:leftChars="284" w:left="963" w:hangingChars="141" w:hanging="338"/>
        <w:rPr>
          <w:rFonts w:ascii="Times New Roman" w:hAnsi="Times New Roman" w:cs="Times New Roman"/>
          <w:sz w:val="24"/>
          <w:szCs w:val="24"/>
        </w:rPr>
      </w:pPr>
    </w:p>
    <w:p w:rsidR="00ED023D" w:rsidRPr="001A55C5" w:rsidRDefault="00ED023D" w:rsidP="00ED023D">
      <w:pPr>
        <w:pStyle w:val="EndnoteText"/>
        <w:spacing w:after="0"/>
        <w:ind w:left="170" w:hangingChars="71" w:hanging="17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(b) 94 &amp; 96 of 1992 UNHCR Handbook on Procedures and Criteria for Determining Refugee Status under the 1951 Convention and the 1967 Protocol relating to the Status of Refugees </w:t>
      </w:r>
    </w:p>
    <w:p w:rsidR="00ED023D" w:rsidRPr="001A55C5" w:rsidRDefault="00ED023D" w:rsidP="00ED023D">
      <w:pPr>
        <w:pStyle w:val="EndnoteText"/>
        <w:spacing w:after="0"/>
        <w:ind w:firstLineChars="283" w:firstLine="679"/>
        <w:rPr>
          <w:rFonts w:ascii="Times New Roman" w:hAnsi="Times New Roman" w:cs="Times New Roman"/>
          <w:sz w:val="24"/>
          <w:szCs w:val="24"/>
        </w:rPr>
      </w:pPr>
      <w:r w:rsidRPr="001A55C5">
        <w:rPr>
          <w:rFonts w:ascii="Times New Roman" w:hAnsi="Times New Roman" w:cs="Times New Roman"/>
          <w:sz w:val="24"/>
          <w:szCs w:val="24"/>
        </w:rPr>
        <w:t>Refugees “sur place”:</w:t>
      </w:r>
    </w:p>
    <w:p w:rsidR="00ED023D" w:rsidRPr="001A55C5" w:rsidRDefault="00ED023D" w:rsidP="00ED023D">
      <w:pPr>
        <w:pStyle w:val="EndnoteText"/>
        <w:spacing w:after="0"/>
        <w:ind w:leftChars="283" w:left="961" w:hangingChars="141" w:hanging="338"/>
        <w:rPr>
          <w:rFonts w:ascii="Times New Roman" w:hAnsi="Times New Roman" w:cs="Times New Roman"/>
          <w:sz w:val="24"/>
          <w:szCs w:val="24"/>
        </w:rPr>
      </w:pPr>
      <w:r w:rsidRPr="001A55C5">
        <w:rPr>
          <w:rFonts w:ascii="Times New Roman" w:hAnsi="Times New Roman" w:cs="Times New Roman"/>
          <w:sz w:val="24"/>
          <w:szCs w:val="24"/>
        </w:rPr>
        <w:t>94. The requirement that a person must be outside his country to be a refugee does not mean that he must necessarily have left that country illegally, or even that he must have left it on account of well-founded fear. He may have decided to ask for recognition of his refugee status after having already been abroad for some time. A person who was not a refugee when he left his country, but who becomes a refugee at a later date, is called a refugee “sur place”.</w:t>
      </w:r>
    </w:p>
    <w:p w:rsidR="00ED023D" w:rsidRPr="001A55C5" w:rsidRDefault="00ED023D" w:rsidP="00ED023D">
      <w:pPr>
        <w:pStyle w:val="EndnoteText"/>
        <w:ind w:leftChars="283" w:left="961" w:hangingChars="141" w:hanging="338"/>
        <w:rPr>
          <w:rFonts w:ascii="Times New Roman" w:hAnsi="Times New Roman" w:cs="Times New Roman"/>
          <w:sz w:val="24"/>
          <w:szCs w:val="24"/>
        </w:rPr>
      </w:pPr>
      <w:r w:rsidRPr="001A55C5">
        <w:rPr>
          <w:rFonts w:ascii="Times New Roman" w:hAnsi="Times New Roman" w:cs="Times New Roman"/>
          <w:sz w:val="24"/>
          <w:szCs w:val="24"/>
        </w:rPr>
        <w:t>96. A person may become a refugee “sur place” as a result of his own actions, such as associating with refugees already recognized, or expressing his political views in his country of residence. Whether such actions are sufficient to justify a well-founded fear of persecution must be determined by a careful examination of the circumstances. Regard should be had in particular to whether such actions may have come to the notice of the authorities of the person's country of origin and how they are likely to be viewed by those authorities.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3 of 1984 Convention against Torture and Other Cruel, Inhuman or Degrading Treatment or Punishment</w:t>
      </w:r>
    </w:p>
    <w:p w:rsidR="00ED023D" w:rsidRPr="001A55C5" w:rsidRDefault="00ED023D" w:rsidP="00ED023D">
      <w:pPr>
        <w:pStyle w:val="EndnoteText"/>
        <w:spacing w:after="0"/>
        <w:ind w:leftChars="354" w:left="1120" w:hangingChars="142" w:hanging="341"/>
        <w:rPr>
          <w:rFonts w:ascii="Times New Roman" w:hAnsi="Times New Roman" w:cs="Times New Roman"/>
          <w:sz w:val="24"/>
          <w:szCs w:val="24"/>
        </w:rPr>
      </w:pPr>
      <w:r w:rsidRPr="001A55C5">
        <w:rPr>
          <w:rFonts w:ascii="Times New Roman" w:hAnsi="Times New Roman" w:cs="Times New Roman"/>
          <w:sz w:val="24"/>
          <w:szCs w:val="24"/>
        </w:rPr>
        <w:t>1. No State Party shall expel, return ("refouler") or extradite a person to another State where there are substantial grounds for believing that he would be in danger of being subjected to torture.</w:t>
      </w:r>
    </w:p>
    <w:p w:rsidR="00ED023D" w:rsidRPr="001A55C5" w:rsidRDefault="00ED023D" w:rsidP="00ED023D">
      <w:pPr>
        <w:pStyle w:val="EndnoteText"/>
        <w:ind w:leftChars="354" w:left="1120" w:hangingChars="142" w:hanging="341"/>
        <w:rPr>
          <w:rFonts w:ascii="Times New Roman" w:hAnsi="Times New Roman" w:cs="Times New Roman"/>
          <w:sz w:val="24"/>
          <w:szCs w:val="24"/>
        </w:rPr>
      </w:pPr>
      <w:r w:rsidRPr="001A55C5">
        <w:rPr>
          <w:rFonts w:ascii="Times New Roman" w:hAnsi="Times New Roman" w:cs="Times New Roman"/>
          <w:sz w:val="24"/>
          <w:szCs w:val="24"/>
        </w:rPr>
        <w:t>2. For the purpose of determining whether there are such grounds, the competent authorities shall take into account all relevant considerations including, where applicable, the existence in the State concerned of a consistent pattern of gross, flagrant or mass violations of human rights.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22 of 1989 Convention on the Rights of the Child</w:t>
      </w:r>
    </w:p>
    <w:p w:rsidR="00ED023D" w:rsidRPr="001A55C5" w:rsidRDefault="00ED023D" w:rsidP="00ED023D">
      <w:pPr>
        <w:pStyle w:val="EndnoteText"/>
        <w:ind w:leftChars="354" w:left="1117" w:hangingChars="141" w:hanging="338"/>
        <w:rPr>
          <w:rFonts w:ascii="Times New Roman" w:hAnsi="Times New Roman" w:cs="Times New Roman"/>
          <w:sz w:val="24"/>
          <w:szCs w:val="24"/>
        </w:rPr>
      </w:pPr>
      <w:r w:rsidRPr="001A55C5">
        <w:rPr>
          <w:rFonts w:ascii="Times New Roman" w:hAnsi="Times New Roman" w:cs="Times New Roman"/>
          <w:sz w:val="24"/>
          <w:szCs w:val="24"/>
        </w:rPr>
        <w:t>1. States Parties shall take appropriate measures to ensure that a child who is seeking refugee status or who is considered a refugee in accordance with applicable international or domestic law and procedures shall, whether unaccompanied or accompanied by his or her parents or by any other person, receive appropriate protection and humanitarian assistance in the enjoyment of applicable rights set forth in the present Convention and in other international human rights or humanitarian instruments to which the said States are Parties.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lastRenderedPageBreak/>
        <w:footnoteRef/>
      </w:r>
      <w:r w:rsidRPr="001A55C5">
        <w:rPr>
          <w:rFonts w:ascii="Times New Roman" w:hAnsi="Times New Roman" w:cs="Times New Roman"/>
          <w:sz w:val="24"/>
          <w:szCs w:val="24"/>
        </w:rPr>
        <w:t xml:space="preserve"> Article 37 of 1989 Convention on the Rights of the Child</w:t>
      </w:r>
    </w:p>
    <w:p w:rsidR="00ED023D" w:rsidRPr="001A55C5" w:rsidRDefault="00ED023D" w:rsidP="00ED023D">
      <w:pPr>
        <w:pStyle w:val="EndnoteText"/>
        <w:spacing w:after="0"/>
        <w:ind w:leftChars="354" w:left="779"/>
        <w:rPr>
          <w:rFonts w:ascii="Times New Roman" w:hAnsi="Times New Roman" w:cs="Times New Roman"/>
          <w:sz w:val="24"/>
          <w:szCs w:val="24"/>
        </w:rPr>
      </w:pPr>
      <w:r w:rsidRPr="001A55C5">
        <w:rPr>
          <w:rFonts w:ascii="Times New Roman" w:hAnsi="Times New Roman" w:cs="Times New Roman"/>
          <w:sz w:val="24"/>
          <w:szCs w:val="24"/>
        </w:rPr>
        <w:t>States Parties shall ensure that:</w:t>
      </w:r>
    </w:p>
    <w:p w:rsidR="00ED023D" w:rsidRDefault="00ED023D" w:rsidP="00ED023D">
      <w:pPr>
        <w:pStyle w:val="EndnoteText"/>
        <w:numPr>
          <w:ilvl w:val="0"/>
          <w:numId w:val="1"/>
        </w:numPr>
        <w:rPr>
          <w:rFonts w:ascii="Times New Roman" w:hAnsi="Times New Roman" w:cs="Times New Roman"/>
          <w:sz w:val="24"/>
          <w:szCs w:val="24"/>
        </w:rPr>
      </w:pPr>
      <w:r w:rsidRPr="001A55C5">
        <w:rPr>
          <w:rFonts w:ascii="Times New Roman" w:hAnsi="Times New Roman" w:cs="Times New Roman"/>
          <w:sz w:val="24"/>
          <w:szCs w:val="24"/>
        </w:rPr>
        <w:t>No child shall be subjected to torture or other cruel, inhuman or degrading treatment or punishment. Neither capital punishment nor life imprisonment without possibility of release shall be imposed for offences committed by persons below eighteen years of age;</w:t>
      </w:r>
    </w:p>
    <w:p w:rsidR="00ED023D" w:rsidRDefault="00ED023D" w:rsidP="00ED023D">
      <w:pPr>
        <w:pStyle w:val="EndnoteText"/>
        <w:rPr>
          <w:rFonts w:ascii="Times New Roman" w:hAnsi="Times New Roman" w:cs="Times New Roman"/>
          <w:sz w:val="24"/>
          <w:szCs w:val="24"/>
        </w:rPr>
      </w:pPr>
    </w:p>
    <w:p w:rsidR="00ED023D" w:rsidRPr="001A55C5" w:rsidRDefault="00ED023D" w:rsidP="00ED023D">
      <w:pPr>
        <w:pStyle w:val="EndnoteText"/>
        <w:rPr>
          <w:rFonts w:ascii="Times New Roman" w:hAnsi="Times New Roman" w:cs="Times New Roman"/>
          <w:sz w:val="24"/>
          <w:szCs w:val="24"/>
        </w:rPr>
      </w:pP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39 of 1989 Convention on the Rights of the Child</w:t>
      </w:r>
    </w:p>
    <w:p w:rsidR="00ED023D" w:rsidRPr="001A55C5" w:rsidRDefault="00ED023D" w:rsidP="00ED023D">
      <w:pPr>
        <w:pStyle w:val="EndnoteText"/>
        <w:ind w:leftChars="496" w:left="1091"/>
        <w:rPr>
          <w:rFonts w:ascii="Times New Roman" w:hAnsi="Times New Roman" w:cs="Times New Roman"/>
          <w:sz w:val="24"/>
          <w:szCs w:val="24"/>
        </w:rPr>
      </w:pPr>
      <w:r w:rsidRPr="001A55C5">
        <w:rPr>
          <w:rFonts w:ascii="Times New Roman" w:hAnsi="Times New Roman" w:cs="Times New Roman"/>
          <w:sz w:val="24"/>
          <w:szCs w:val="24"/>
        </w:rPr>
        <w:t>States Parties shall take all appropriate measures to promote physical and psychological recovery and social reintegration of a child victim of: any form of neglect, exploitation, or abuse; torture or any other form of cruel, inhuman or degrading treatment or punishment; or armed conflicts. Such recovery and reintegration shall take place in an environment which fosters the health, self-respect and dignity of the child.</w:t>
      </w:r>
    </w:p>
    <w:p w:rsidR="00ED023D" w:rsidRPr="001A55C5" w:rsidRDefault="00ED023D" w:rsidP="00ED023D">
      <w:pPr>
        <w:pStyle w:val="NormalWeb"/>
        <w:spacing w:before="0" w:beforeAutospacing="0" w:after="0" w:afterAutospacing="0"/>
        <w:ind w:left="341" w:hangingChars="142" w:hanging="341"/>
        <w:rPr>
          <w:rFonts w:eastAsiaTheme="minorHAnsi"/>
          <w:color w:val="000000"/>
        </w:rPr>
      </w:pPr>
      <w:r w:rsidRPr="001A55C5">
        <w:rPr>
          <w:rStyle w:val="EndnoteReference"/>
          <w:rFonts w:eastAsiaTheme="minorHAnsi"/>
        </w:rPr>
        <w:footnoteRef/>
      </w:r>
      <w:r w:rsidRPr="001A55C5">
        <w:rPr>
          <w:rFonts w:eastAsiaTheme="minorHAnsi"/>
        </w:rPr>
        <w:t xml:space="preserve"> </w:t>
      </w:r>
      <w:r w:rsidRPr="001A55C5">
        <w:rPr>
          <w:rFonts w:eastAsiaTheme="minorHAnsi"/>
          <w:color w:val="000000"/>
        </w:rPr>
        <w:t>Article 4 of 1986 Mutual Cooperation Protocol for the Work of Maintaining National Security</w:t>
      </w:r>
      <w:r>
        <w:rPr>
          <w:rFonts w:eastAsiaTheme="minorHAnsi" w:hint="eastAsia"/>
          <w:color w:val="000000"/>
        </w:rPr>
        <w:t xml:space="preserve"> </w:t>
      </w:r>
      <w:r w:rsidRPr="001A55C5">
        <w:rPr>
          <w:rFonts w:eastAsiaTheme="minorHAnsi"/>
          <w:color w:val="000000"/>
        </w:rPr>
        <w:t>and Social Order and Border Areas</w:t>
      </w:r>
    </w:p>
    <w:p w:rsidR="00ED023D" w:rsidRPr="001A55C5" w:rsidRDefault="00ED023D" w:rsidP="00ED023D">
      <w:pPr>
        <w:pStyle w:val="NormalWeb"/>
        <w:spacing w:before="0" w:beforeAutospacing="0" w:after="0" w:afterAutospacing="0"/>
        <w:ind w:left="993"/>
        <w:rPr>
          <w:rFonts w:eastAsiaTheme="minorHAnsi"/>
          <w:color w:val="000000"/>
        </w:rPr>
      </w:pPr>
      <w:r w:rsidRPr="001A55C5">
        <w:rPr>
          <w:rFonts w:eastAsiaTheme="minorHAnsi"/>
          <w:color w:val="000000"/>
        </w:rPr>
        <w:t xml:space="preserve">Both sides shall mutually cooperate on the work of preventing the illegal border crossing of residents. </w:t>
      </w:r>
    </w:p>
    <w:p w:rsidR="00ED023D" w:rsidRPr="001A55C5" w:rsidRDefault="00ED023D" w:rsidP="00ED023D">
      <w:pPr>
        <w:pStyle w:val="NormalWeb"/>
        <w:spacing w:before="0" w:beforeAutospacing="0" w:after="240" w:afterAutospacing="0"/>
        <w:ind w:leftChars="354" w:left="1117" w:hangingChars="141" w:hanging="338"/>
        <w:rPr>
          <w:rFonts w:eastAsiaTheme="minorHAnsi"/>
          <w:color w:val="000000"/>
        </w:rPr>
      </w:pPr>
      <w:r w:rsidRPr="001A55C5">
        <w:rPr>
          <w:rFonts w:eastAsiaTheme="minorHAnsi"/>
          <w:color w:val="000000"/>
        </w:rPr>
        <w:t>Clause 1: In the case of crossing the border without possession of a legal certificate or  without passing through screening agencies or the passage places stated on the possessed certificate, [the individual] shall be treated as an illegal border crosser. However, any person of the other side who enters the boundaries of one side due to any kind of calamity or unavoidable factors shall not be considered an illegal border crosser. A person possessing a border-resident pass who comes into a non-border area with the permission of public security and an entry/exit bureau shall not be consid</w:t>
      </w:r>
      <w:r>
        <w:rPr>
          <w:rFonts w:eastAsiaTheme="minorHAnsi"/>
          <w:color w:val="000000"/>
        </w:rPr>
        <w:t>ered an illegal border crosser.</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4 of 1969 Vienna Convention on the Law of Treaties</w:t>
      </w:r>
    </w:p>
    <w:p w:rsidR="00ED023D" w:rsidRPr="001A55C5" w:rsidRDefault="00ED023D" w:rsidP="00ED023D">
      <w:pPr>
        <w:pStyle w:val="EndnoteText"/>
        <w:spacing w:after="0"/>
        <w:ind w:firstLineChars="413" w:firstLine="991"/>
        <w:rPr>
          <w:rFonts w:ascii="Times New Roman" w:hAnsi="Times New Roman" w:cs="Times New Roman"/>
          <w:sz w:val="24"/>
          <w:szCs w:val="24"/>
        </w:rPr>
      </w:pPr>
      <w:r w:rsidRPr="001A55C5">
        <w:rPr>
          <w:rFonts w:ascii="Times New Roman" w:hAnsi="Times New Roman" w:cs="Times New Roman"/>
          <w:sz w:val="24"/>
          <w:szCs w:val="24"/>
        </w:rPr>
        <w:t>Non-retroactivity of the present Convention:</w:t>
      </w:r>
    </w:p>
    <w:p w:rsidR="00ED023D" w:rsidRPr="001A55C5" w:rsidRDefault="00ED023D" w:rsidP="00ED023D">
      <w:pPr>
        <w:pStyle w:val="EndnoteText"/>
        <w:ind w:leftChars="496" w:left="1091" w:firstLine="1"/>
        <w:rPr>
          <w:rFonts w:ascii="Times New Roman" w:hAnsi="Times New Roman" w:cs="Times New Roman"/>
          <w:sz w:val="24"/>
          <w:szCs w:val="24"/>
        </w:rPr>
      </w:pPr>
      <w:r w:rsidRPr="001A55C5">
        <w:rPr>
          <w:rFonts w:ascii="Times New Roman" w:hAnsi="Times New Roman" w:cs="Times New Roman"/>
          <w:sz w:val="24"/>
          <w:szCs w:val="24"/>
        </w:rPr>
        <w:t>Without prejudice to the application of any rules set forth in the present Convention to which treaties would be subject under international law independently of the Convention, the Convention applies only to treaties which are concluded by States after the entry into force of the present Convention with regard to such States.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14 of the Universal Declaration of Human Rights</w:t>
      </w:r>
    </w:p>
    <w:p w:rsidR="00ED023D" w:rsidRPr="001A55C5" w:rsidRDefault="00ED023D" w:rsidP="00ED023D">
      <w:pPr>
        <w:pStyle w:val="ListParagraph"/>
        <w:ind w:leftChars="0" w:left="760"/>
        <w:rPr>
          <w:rFonts w:ascii="Times New Roman" w:hAnsi="Times New Roman" w:cs="Times New Roman"/>
          <w:sz w:val="24"/>
          <w:szCs w:val="24"/>
        </w:rPr>
      </w:pPr>
      <w:r w:rsidRPr="001A55C5">
        <w:rPr>
          <w:rFonts w:ascii="Times New Roman" w:hAnsi="Times New Roman" w:cs="Times New Roman"/>
          <w:sz w:val="24"/>
          <w:szCs w:val="24"/>
        </w:rPr>
        <w:t>(1) Everyone has the right to seek and to enjoy in other countries asylum from persecution.</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5 of the Universal Declaration of Human Rights</w:t>
      </w:r>
    </w:p>
    <w:p w:rsidR="00ED023D" w:rsidRPr="001A55C5" w:rsidRDefault="00ED023D" w:rsidP="00ED023D">
      <w:pPr>
        <w:pStyle w:val="EndnoteText"/>
        <w:ind w:leftChars="496" w:left="1091"/>
        <w:rPr>
          <w:rFonts w:ascii="Times New Roman" w:hAnsi="Times New Roman" w:cs="Times New Roman"/>
          <w:sz w:val="24"/>
          <w:szCs w:val="24"/>
        </w:rPr>
      </w:pPr>
      <w:r w:rsidRPr="001A55C5">
        <w:rPr>
          <w:rFonts w:ascii="Times New Roman" w:hAnsi="Times New Roman" w:cs="Times New Roman"/>
          <w:sz w:val="24"/>
          <w:szCs w:val="24"/>
        </w:rPr>
        <w:t>No one shall be subjected to torture or to cruel, inhuman or degrading treatment or punishment.</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2 of the Universal Declaration of Human Rights</w:t>
      </w:r>
    </w:p>
    <w:p w:rsidR="00ED023D" w:rsidRPr="001A55C5" w:rsidRDefault="00ED023D" w:rsidP="00ED023D">
      <w:pPr>
        <w:pStyle w:val="EndnoteText"/>
        <w:spacing w:after="0"/>
        <w:ind w:leftChars="496" w:left="1091"/>
        <w:rPr>
          <w:rFonts w:ascii="Times New Roman" w:hAnsi="Times New Roman" w:cs="Times New Roman"/>
          <w:sz w:val="24"/>
          <w:szCs w:val="24"/>
        </w:rPr>
      </w:pPr>
      <w:r w:rsidRPr="001A55C5">
        <w:rPr>
          <w:rFonts w:ascii="Times New Roman" w:hAnsi="Times New Roman" w:cs="Times New Roman"/>
          <w:sz w:val="24"/>
          <w:szCs w:val="24"/>
        </w:rPr>
        <w:t xml:space="preserve">Everyone is entitled to all the rights and freedoms set forth in this Declaration, </w:t>
      </w:r>
      <w:r w:rsidRPr="001A55C5">
        <w:rPr>
          <w:rFonts w:ascii="Times New Roman" w:hAnsi="Times New Roman" w:cs="Times New Roman"/>
          <w:sz w:val="24"/>
          <w:szCs w:val="24"/>
        </w:rPr>
        <w:lastRenderedPageBreak/>
        <w:t>without distinction of any kind, such as race, colour, sex, language, religion, political or other opinion, national or social origin, property, birth or other status. Furthermore, no distinction shall be made on the basis of the political, jurisdictional or international status of the country or territory to which a person belongs, whether it be independent, trust, non-self-governing or under any other limitation of sovereignty.</w:t>
      </w:r>
    </w:p>
    <w:p w:rsidR="00ED023D" w:rsidRDefault="00ED023D" w:rsidP="00ED023D">
      <w:pPr>
        <w:spacing w:line="480" w:lineRule="auto"/>
        <w:ind w:firstLine="567"/>
        <w:rPr>
          <w:rFonts w:ascii="Times New Roman" w:hAnsi="Times New Roman" w:cs="Times New Roman"/>
          <w:sz w:val="24"/>
          <w:szCs w:val="24"/>
        </w:rPr>
      </w:pPr>
    </w:p>
    <w:p w:rsidR="00ED023D" w:rsidRPr="006948DD" w:rsidRDefault="00ED023D" w:rsidP="00ED023D">
      <w:pPr>
        <w:spacing w:line="480" w:lineRule="auto"/>
        <w:ind w:firstLine="567"/>
        <w:jc w:val="center"/>
        <w:rPr>
          <w:rFonts w:ascii="Times New Roman" w:hAnsi="Times New Roman" w:cs="Times New Roman"/>
          <w:sz w:val="24"/>
          <w:szCs w:val="24"/>
        </w:rPr>
      </w:pPr>
    </w:p>
    <w:sectPr w:rsidR="00ED023D" w:rsidRPr="006948DD">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23D" w:rsidRDefault="00ED023D" w:rsidP="00ED023D">
      <w:pPr>
        <w:spacing w:after="0" w:line="240" w:lineRule="auto"/>
      </w:pPr>
      <w:r>
        <w:separator/>
      </w:r>
    </w:p>
  </w:endnote>
  <w:endnote w:type="continuationSeparator" w:id="0">
    <w:p w:rsidR="00ED023D" w:rsidRDefault="00ED023D" w:rsidP="00ED0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23D" w:rsidRDefault="00ED023D" w:rsidP="00ED023D">
      <w:pPr>
        <w:spacing w:after="0" w:line="240" w:lineRule="auto"/>
      </w:pPr>
      <w:r>
        <w:separator/>
      </w:r>
    </w:p>
  </w:footnote>
  <w:footnote w:type="continuationSeparator" w:id="0">
    <w:p w:rsidR="00ED023D" w:rsidRDefault="00ED023D" w:rsidP="00ED02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30574"/>
      <w:docPartObj>
        <w:docPartGallery w:val="Page Numbers (Top of Page)"/>
        <w:docPartUnique/>
      </w:docPartObj>
    </w:sdtPr>
    <w:sdtEndPr>
      <w:rPr>
        <w:noProof/>
      </w:rPr>
    </w:sdtEndPr>
    <w:sdtContent>
      <w:p w:rsidR="00ED023D" w:rsidRDefault="00ED023D">
        <w:pPr>
          <w:pStyle w:val="Header"/>
          <w:jc w:val="right"/>
        </w:pPr>
        <w:r>
          <w:fldChar w:fldCharType="begin"/>
        </w:r>
        <w:r>
          <w:instrText xml:space="preserve"> PAGE   \* MERGEFORMAT </w:instrText>
        </w:r>
        <w:r>
          <w:fldChar w:fldCharType="separate"/>
        </w:r>
        <w:r w:rsidR="00013FEF">
          <w:rPr>
            <w:noProof/>
          </w:rPr>
          <w:t>1</w:t>
        </w:r>
        <w:r>
          <w:rPr>
            <w:noProof/>
          </w:rPr>
          <w:fldChar w:fldCharType="end"/>
        </w:r>
      </w:p>
    </w:sdtContent>
  </w:sdt>
  <w:p w:rsidR="00ED023D" w:rsidRPr="00ED023D" w:rsidRDefault="00ED023D">
    <w:pPr>
      <w:pStyle w:val="Header"/>
      <w:rPr>
        <w:rFonts w:ascii="Times New Roman" w:hAnsi="Times New Roman" w:cs="Times New Roman"/>
        <w:sz w:val="24"/>
        <w:szCs w:val="24"/>
      </w:rPr>
    </w:pPr>
    <w:r w:rsidRPr="00ED023D">
      <w:rPr>
        <w:rFonts w:ascii="Times New Roman" w:hAnsi="Times New Roman" w:cs="Times New Roman"/>
        <w:sz w:val="24"/>
        <w:szCs w:val="24"/>
      </w:rPr>
      <w:t>Running Head: Human Rights: Is returning refugees to Syria where their life and freedom are threatened a violation of International Laws</w:t>
    </w:r>
    <w:r>
      <w:rPr>
        <w:rFonts w:ascii="Times New Roman" w:hAnsi="Times New Roman" w:cs="Times New Roman"/>
        <w:sz w:val="24"/>
        <w:szCs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D74D5"/>
    <w:multiLevelType w:val="hybridMultilevel"/>
    <w:tmpl w:val="81227CF2"/>
    <w:lvl w:ilvl="0" w:tplc="6A5CC35E">
      <w:start w:val="1"/>
      <w:numFmt w:val="lowerLetter"/>
      <w:lvlText w:val="(%1)"/>
      <w:lvlJc w:val="left"/>
      <w:pPr>
        <w:ind w:left="1068" w:hanging="360"/>
      </w:pPr>
      <w:rPr>
        <w:rFonts w:hint="default"/>
      </w:rPr>
    </w:lvl>
    <w:lvl w:ilvl="1" w:tplc="04090019" w:tentative="1">
      <w:start w:val="1"/>
      <w:numFmt w:val="upperLetter"/>
      <w:lvlText w:val="%2."/>
      <w:lvlJc w:val="left"/>
      <w:pPr>
        <w:ind w:left="1508" w:hanging="400"/>
      </w:pPr>
    </w:lvl>
    <w:lvl w:ilvl="2" w:tplc="0409001B" w:tentative="1">
      <w:start w:val="1"/>
      <w:numFmt w:val="lowerRoman"/>
      <w:lvlText w:val="%3."/>
      <w:lvlJc w:val="right"/>
      <w:pPr>
        <w:ind w:left="1908" w:hanging="400"/>
      </w:pPr>
    </w:lvl>
    <w:lvl w:ilvl="3" w:tplc="0409000F" w:tentative="1">
      <w:start w:val="1"/>
      <w:numFmt w:val="decimal"/>
      <w:lvlText w:val="%4."/>
      <w:lvlJc w:val="left"/>
      <w:pPr>
        <w:ind w:left="2308" w:hanging="400"/>
      </w:pPr>
    </w:lvl>
    <w:lvl w:ilvl="4" w:tplc="04090019" w:tentative="1">
      <w:start w:val="1"/>
      <w:numFmt w:val="upperLetter"/>
      <w:lvlText w:val="%5."/>
      <w:lvlJc w:val="left"/>
      <w:pPr>
        <w:ind w:left="2708" w:hanging="400"/>
      </w:pPr>
    </w:lvl>
    <w:lvl w:ilvl="5" w:tplc="0409001B" w:tentative="1">
      <w:start w:val="1"/>
      <w:numFmt w:val="lowerRoman"/>
      <w:lvlText w:val="%6."/>
      <w:lvlJc w:val="right"/>
      <w:pPr>
        <w:ind w:left="3108" w:hanging="400"/>
      </w:pPr>
    </w:lvl>
    <w:lvl w:ilvl="6" w:tplc="0409000F" w:tentative="1">
      <w:start w:val="1"/>
      <w:numFmt w:val="decimal"/>
      <w:lvlText w:val="%7."/>
      <w:lvlJc w:val="left"/>
      <w:pPr>
        <w:ind w:left="3508" w:hanging="400"/>
      </w:pPr>
    </w:lvl>
    <w:lvl w:ilvl="7" w:tplc="04090019" w:tentative="1">
      <w:start w:val="1"/>
      <w:numFmt w:val="upperLetter"/>
      <w:lvlText w:val="%8."/>
      <w:lvlJc w:val="left"/>
      <w:pPr>
        <w:ind w:left="3908" w:hanging="400"/>
      </w:pPr>
    </w:lvl>
    <w:lvl w:ilvl="8" w:tplc="0409001B" w:tentative="1">
      <w:start w:val="1"/>
      <w:numFmt w:val="lowerRoman"/>
      <w:lvlText w:val="%9."/>
      <w:lvlJc w:val="right"/>
      <w:pPr>
        <w:ind w:left="4308"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BFD"/>
    <w:rsid w:val="000016AC"/>
    <w:rsid w:val="00013FEF"/>
    <w:rsid w:val="00170332"/>
    <w:rsid w:val="001C7653"/>
    <w:rsid w:val="00245BFD"/>
    <w:rsid w:val="003213F1"/>
    <w:rsid w:val="00380025"/>
    <w:rsid w:val="004277AE"/>
    <w:rsid w:val="004F45C8"/>
    <w:rsid w:val="00573FC3"/>
    <w:rsid w:val="005B7142"/>
    <w:rsid w:val="00673010"/>
    <w:rsid w:val="006948DD"/>
    <w:rsid w:val="00B336D1"/>
    <w:rsid w:val="00B459F5"/>
    <w:rsid w:val="00BA1392"/>
    <w:rsid w:val="00CF0FA9"/>
    <w:rsid w:val="00D146F6"/>
    <w:rsid w:val="00ED0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84F55DF-CB4E-4B3D-9FD6-3F5ECAA2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76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C7653"/>
    <w:rPr>
      <w:color w:val="0000FF"/>
      <w:u w:val="single"/>
    </w:rPr>
  </w:style>
  <w:style w:type="paragraph" w:styleId="EndnoteText">
    <w:name w:val="endnote text"/>
    <w:basedOn w:val="Normal"/>
    <w:link w:val="EndnoteTextChar"/>
    <w:uiPriority w:val="99"/>
    <w:semiHidden/>
    <w:unhideWhenUsed/>
    <w:rsid w:val="006948DD"/>
    <w:pPr>
      <w:widowControl w:val="0"/>
      <w:wordWrap w:val="0"/>
      <w:autoSpaceDE w:val="0"/>
      <w:autoSpaceDN w:val="0"/>
      <w:snapToGrid w:val="0"/>
    </w:pPr>
    <w:rPr>
      <w:rFonts w:eastAsiaTheme="minorEastAsia"/>
      <w:kern w:val="2"/>
      <w:sz w:val="20"/>
      <w:lang w:val="en-US" w:eastAsia="ko-KR"/>
    </w:rPr>
  </w:style>
  <w:style w:type="character" w:customStyle="1" w:styleId="EndnoteTextChar">
    <w:name w:val="Endnote Text Char"/>
    <w:basedOn w:val="DefaultParagraphFont"/>
    <w:link w:val="EndnoteText"/>
    <w:uiPriority w:val="99"/>
    <w:semiHidden/>
    <w:rsid w:val="006948DD"/>
    <w:rPr>
      <w:rFonts w:eastAsiaTheme="minorEastAsia"/>
      <w:kern w:val="2"/>
      <w:sz w:val="20"/>
      <w:lang w:val="en-US" w:eastAsia="ko-KR"/>
    </w:rPr>
  </w:style>
  <w:style w:type="character" w:styleId="EndnoteReference">
    <w:name w:val="endnote reference"/>
    <w:basedOn w:val="DefaultParagraphFont"/>
    <w:uiPriority w:val="99"/>
    <w:semiHidden/>
    <w:unhideWhenUsed/>
    <w:rsid w:val="00ED023D"/>
    <w:rPr>
      <w:vertAlign w:val="superscript"/>
    </w:rPr>
  </w:style>
  <w:style w:type="paragraph" w:styleId="ListParagraph">
    <w:name w:val="List Paragraph"/>
    <w:basedOn w:val="Normal"/>
    <w:uiPriority w:val="34"/>
    <w:qFormat/>
    <w:rsid w:val="00ED023D"/>
    <w:pPr>
      <w:widowControl w:val="0"/>
      <w:wordWrap w:val="0"/>
      <w:autoSpaceDE w:val="0"/>
      <w:autoSpaceDN w:val="0"/>
      <w:ind w:leftChars="400" w:left="800"/>
      <w:jc w:val="both"/>
    </w:pPr>
    <w:rPr>
      <w:rFonts w:eastAsiaTheme="minorEastAsia"/>
      <w:kern w:val="2"/>
      <w:sz w:val="20"/>
      <w:lang w:val="en-US" w:eastAsia="ko-KR"/>
    </w:rPr>
  </w:style>
  <w:style w:type="paragraph" w:styleId="Header">
    <w:name w:val="header"/>
    <w:basedOn w:val="Normal"/>
    <w:link w:val="HeaderChar"/>
    <w:uiPriority w:val="99"/>
    <w:unhideWhenUsed/>
    <w:rsid w:val="00ED02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23D"/>
  </w:style>
  <w:style w:type="paragraph" w:styleId="Footer">
    <w:name w:val="footer"/>
    <w:basedOn w:val="Normal"/>
    <w:link w:val="FooterChar"/>
    <w:uiPriority w:val="99"/>
    <w:unhideWhenUsed/>
    <w:rsid w:val="00ED02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073915">
      <w:bodyDiv w:val="1"/>
      <w:marLeft w:val="0"/>
      <w:marRight w:val="0"/>
      <w:marTop w:val="0"/>
      <w:marBottom w:val="0"/>
      <w:divBdr>
        <w:top w:val="none" w:sz="0" w:space="0" w:color="auto"/>
        <w:left w:val="none" w:sz="0" w:space="0" w:color="auto"/>
        <w:bottom w:val="none" w:sz="0" w:space="0" w:color="auto"/>
        <w:right w:val="none" w:sz="0" w:space="0" w:color="auto"/>
      </w:divBdr>
    </w:div>
    <w:div w:id="158761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xfordhandbooks.com/view/10.1093/oxfordhb/9780199652433.001.0001/oxfordhb-9780199652433-e-021" TargetMode="External"/><Relationship Id="rId13" Type="http://schemas.openxmlformats.org/officeDocument/2006/relationships/hyperlink" Target="https://mail.hrw.org/owa/redir.aspx?C=95d3e8da27bd40f8ba000e17c1cea8d1&amp;URL=http%3a%2f%2fwww.hrw.org%2fmiddle-eastn-africa%2fjorda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xfordhandbooks.com/view/10.1093/oxfordhb/9780199652433.001.0001/oxfordhb-9780199652433-e-021" TargetMode="External"/><Relationship Id="rId12" Type="http://schemas.openxmlformats.org/officeDocument/2006/relationships/hyperlink" Target="https://www.oxfordhandbooks.com/view/10.1093/oxfordhb/9780199652433.001.0001/oxfordhb-9780199652433-e-02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xfordhandbooks.com/view/10.1093/oxfordhb/9780199652433.001.0001/oxfordhb-9780199652433-e-021" TargetMode="External"/><Relationship Id="rId5" Type="http://schemas.openxmlformats.org/officeDocument/2006/relationships/footnotes" Target="footnotes.xml"/><Relationship Id="rId15" Type="http://schemas.openxmlformats.org/officeDocument/2006/relationships/hyperlink" Target="https://www.hrw.org/report/2017/10/02/i-have-no-idea-whythey-sent-us-back/jordanian-deportations-and-expulsions-syrian" TargetMode="External"/><Relationship Id="rId10" Type="http://schemas.openxmlformats.org/officeDocument/2006/relationships/hyperlink" Target="https://www.oxfordhandbooks.com/view/10.1093/oxfordhb/9780199652433.001.0001/oxfordhb-9780199652433-e-021" TargetMode="External"/><Relationship Id="rId4" Type="http://schemas.openxmlformats.org/officeDocument/2006/relationships/webSettings" Target="webSettings.xml"/><Relationship Id="rId9" Type="http://schemas.openxmlformats.org/officeDocument/2006/relationships/hyperlink" Target="https://www.oxfordhandbooks.com/view/10.1093/oxfordhb/9780199652433.001.0001/oxfordhb-9780199652433-e-021" TargetMode="External"/><Relationship Id="rId14" Type="http://schemas.openxmlformats.org/officeDocument/2006/relationships/hyperlink" Target="https://www.thelocal.dk/20171207/syrians-can-reunite-with-families-in-aleppo-danish-peoples-p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2835</Words>
  <Characters>16166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2020-03-24T21:29:00Z</dcterms:created>
  <dcterms:modified xsi:type="dcterms:W3CDTF">2020-03-24T21:29:00Z</dcterms:modified>
</cp:coreProperties>
</file>